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710F24"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THÔNG TƯ 03/2011/TT-BNV</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w:t>
      </w:r>
      <w:r w:rsidR="00710F24">
        <w:rPr>
          <w:b/>
          <w:bCs/>
          <w:color w:val="000000"/>
          <w:sz w:val="28"/>
          <w:szCs w:val="28"/>
        </w:rPr>
        <w:t>25/01</w:t>
      </w:r>
      <w:r w:rsidR="00E801B7">
        <w:rPr>
          <w:b/>
          <w:bCs/>
          <w:color w:val="000000"/>
          <w:sz w:val="28"/>
          <w:szCs w:val="28"/>
        </w:rPr>
        <w:t>/201</w:t>
      </w:r>
      <w:r w:rsidR="00710F24">
        <w:rPr>
          <w:b/>
          <w:bCs/>
          <w:color w:val="000000"/>
          <w:sz w:val="28"/>
          <w:szCs w:val="28"/>
        </w:rPr>
        <w:t>1</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1" w:name="dieu_62"/>
      <w:bookmarkStart w:id="2" w:name="chuong_4"/>
      <w:bookmarkEnd w:id="0"/>
      <w:proofErr w:type="gramStart"/>
      <w:r w:rsidRPr="00710F24">
        <w:rPr>
          <w:rFonts w:eastAsia="Times New Roman" w:cs="Times New Roman"/>
          <w:b/>
          <w:bCs/>
          <w:color w:val="000000"/>
          <w:szCs w:val="26"/>
        </w:rPr>
        <w:t>Chương 4</w:t>
      </w:r>
      <w:bookmarkEnd w:id="2"/>
      <w:r w:rsidRPr="00710F24">
        <w:rPr>
          <w:rFonts w:eastAsia="Times New Roman" w:cs="Times New Roman"/>
          <w:b/>
          <w:bCs/>
          <w:color w:val="000000"/>
          <w:szCs w:val="26"/>
        </w:rPr>
        <w:t>.</w:t>
      </w:r>
      <w:proofErr w:type="gramEnd"/>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3" w:name="chuong_4_name"/>
      <w:r w:rsidRPr="00710F24">
        <w:rPr>
          <w:rFonts w:eastAsia="Times New Roman" w:cs="Times New Roman"/>
          <w:b/>
          <w:bCs/>
          <w:color w:val="000000"/>
          <w:szCs w:val="26"/>
        </w:rPr>
        <w:t>ĐÀO TẠO SAU ĐẠI HỌC ĐỐI VỚI CÔNG CHỨC VÀ ĐỀN BÙ CHI PHÍ ĐÀO TẠO, BỒI DƯỠNG</w:t>
      </w:r>
      <w:bookmarkEnd w:id="3"/>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4" w:name="dieu_24"/>
      <w:proofErr w:type="gramStart"/>
      <w:r w:rsidRPr="00710F24">
        <w:rPr>
          <w:rFonts w:eastAsia="Times New Roman" w:cs="Times New Roman"/>
          <w:b/>
          <w:bCs/>
          <w:color w:val="000000"/>
          <w:szCs w:val="26"/>
        </w:rPr>
        <w:t>Điều 24.</w:t>
      </w:r>
      <w:proofErr w:type="gramEnd"/>
      <w:r w:rsidRPr="00710F24">
        <w:rPr>
          <w:rFonts w:eastAsia="Times New Roman" w:cs="Times New Roman"/>
          <w:b/>
          <w:bCs/>
          <w:color w:val="000000"/>
          <w:szCs w:val="26"/>
        </w:rPr>
        <w:t xml:space="preserve"> Đào tạo sau đại học đối với công chức</w:t>
      </w:r>
      <w:bookmarkStart w:id="5" w:name="_GoBack"/>
      <w:bookmarkEnd w:id="4"/>
      <w:bookmarkEnd w:id="5"/>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Việc cử công chức đi đào tạo sau đại học phải đáp ứng nhu cầu xây dựng, quy hoạch, kế hoạch phát triển nguồn nhân lực của cơ quan.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Quy định tại Điều 20 Nghị định số </w:t>
      </w:r>
      <w:hyperlink r:id="rId5" w:tgtFrame="_blank" w:history="1">
        <w:r w:rsidRPr="00710F24">
          <w:rPr>
            <w:rFonts w:eastAsia="Times New Roman" w:cs="Times New Roman"/>
            <w:color w:val="0E70C3"/>
            <w:szCs w:val="26"/>
          </w:rPr>
          <w:t>18/2010/NĐ-CP</w:t>
        </w:r>
      </w:hyperlink>
      <w:r w:rsidRPr="00710F24">
        <w:rPr>
          <w:rFonts w:eastAsia="Times New Roman" w:cs="Times New Roman"/>
          <w:color w:val="000000"/>
          <w:szCs w:val="26"/>
        </w:rPr>
        <w:t> không áp dụng đối với các trường hợp sau đây:</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a) Công chức được cử đi học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các chương trình hợp tác với nước ngoài được ký kết hoặc gia nhập nhân danh Nhà nước và nhân danh Chính phủ nước Cộng hòa xã hội chủ nghĩa Việt Nam theo Luật Ký kết, gia nhập và thực hiện điều ước quốc tế;</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b) Công chức đi học tự chi trả các khoản kinh phí học tập và học ngoài giờ hành chính.</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3. Khoản 3 Điều 20 Nghị định số </w:t>
      </w:r>
      <w:hyperlink r:id="rId6" w:tgtFrame="_blank" w:history="1">
        <w:r w:rsidRPr="00710F24">
          <w:rPr>
            <w:rFonts w:eastAsia="Times New Roman" w:cs="Times New Roman"/>
            <w:color w:val="0E70C3"/>
            <w:szCs w:val="26"/>
          </w:rPr>
          <w:t>18/2010/NĐ-CP</w:t>
        </w:r>
      </w:hyperlink>
      <w:r w:rsidRPr="00710F24">
        <w:rPr>
          <w:rFonts w:eastAsia="Times New Roman" w:cs="Times New Roman"/>
          <w:color w:val="000000"/>
          <w:szCs w:val="26"/>
        </w:rPr>
        <w:t> chỉ áp dụng đối với các trường hợp công chức được cử đi đào tạo sau đại học lần đầu.</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4. Công chức có thể được cử đi đào tạo sau đại học sau 3 (ba) năm công tác nếu đáp ứng được các yêu cầu sau:</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a) Đáp ứng các quy định tại khoản 2, 3, 4 Điều 20 Nghị định số 18/2010/NĐ-CP;</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b) Được tuyển dụng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quy định tại khoản 1 Điều 19 Nghị định số </w:t>
      </w:r>
      <w:hyperlink r:id="rId7" w:tgtFrame="_blank" w:history="1">
        <w:r w:rsidRPr="00710F24">
          <w:rPr>
            <w:rFonts w:eastAsia="Times New Roman" w:cs="Times New Roman"/>
            <w:color w:val="0E70C3"/>
            <w:szCs w:val="26"/>
          </w:rPr>
          <w:t>24/2010/NĐ-CP</w:t>
        </w:r>
      </w:hyperlink>
      <w:r w:rsidRPr="00710F24">
        <w:rPr>
          <w:rFonts w:eastAsia="Times New Roman" w:cs="Times New Roman"/>
          <w:color w:val="000000"/>
          <w:szCs w:val="26"/>
        </w:rPr>
        <w:t> ngày 15/3/2010 của Chính phủ quy định về tuyển dụng, sử dụng và quản lý công chức; hoặc 2 (hai) năm liền đạt danh hiệu từ Chiến sỹ thi đua cơ sở trở lên.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6" w:name="dieu_25"/>
      <w:proofErr w:type="gramStart"/>
      <w:r w:rsidRPr="00710F24">
        <w:rPr>
          <w:rFonts w:eastAsia="Times New Roman" w:cs="Times New Roman"/>
          <w:b/>
          <w:bCs/>
          <w:color w:val="000000"/>
          <w:szCs w:val="26"/>
        </w:rPr>
        <w:t>Điều 25.</w:t>
      </w:r>
      <w:proofErr w:type="gramEnd"/>
      <w:r w:rsidRPr="00710F24">
        <w:rPr>
          <w:rFonts w:eastAsia="Times New Roman" w:cs="Times New Roman"/>
          <w:b/>
          <w:bCs/>
          <w:color w:val="000000"/>
          <w:szCs w:val="26"/>
        </w:rPr>
        <w:t xml:space="preserve"> Trường hợp phải đền bù chi phí đào tạo, bồi dưỡng</w:t>
      </w:r>
      <w:bookmarkEnd w:id="6"/>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Đền bù chi phí đào tạo, bồi dưỡng áp dụng đối với các trường hợp công chức được cử đi bồi dưỡng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tiêu chuẩn ngạch; bồi dưỡng ở nước ngoài và đào tạo từ trình độ trung cấp trở lên, khi:</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Công chức tự ý không tham gia khóa học khi đã làm đầy đủ các thủ tục nhập học và đã được cơ quan cấp kinh phí đào tạo, bồi dưỡng; hoặc công chức tự ý bỏ học, bỏ việc hoặc thôi việc trong thời gian được cử đi đào tạo, bồi dưỡng;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Công chức tham gia khóa học đầy đủ thời gian theo quy định (có xác nhận của cơ sở đào tạo, bồi dưỡng) nhưng không được cấp văn bằng, chứng chỉ, chứng nhận đã hoàn thành khóa học do nguyên nhân chủ quan;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3. Công chức đã hoàn thành khóa học và được cấp bằng tốt nghiệp (đối với các trường hợp công chức được cử đi đào tạo từ trình độ trung cấp trở lên) nhưng bỏ việc hoặc thôi việc khi chưa phục vụ đủ thời gian cam kết quy định tại khoảng 4 Điều 20 Nghị định số 18/2010/NĐ-CP.</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7" w:name="dieu_26"/>
      <w:proofErr w:type="gramStart"/>
      <w:r w:rsidRPr="00710F24">
        <w:rPr>
          <w:rFonts w:eastAsia="Times New Roman" w:cs="Times New Roman"/>
          <w:b/>
          <w:bCs/>
          <w:color w:val="000000"/>
          <w:szCs w:val="26"/>
        </w:rPr>
        <w:t>Điều 26.</w:t>
      </w:r>
      <w:proofErr w:type="gramEnd"/>
      <w:r w:rsidRPr="00710F24">
        <w:rPr>
          <w:rFonts w:eastAsia="Times New Roman" w:cs="Times New Roman"/>
          <w:b/>
          <w:bCs/>
          <w:color w:val="000000"/>
          <w:szCs w:val="26"/>
        </w:rPr>
        <w:t xml:space="preserve"> Chi phí đền bù và cách tính chi phí đền bù</w:t>
      </w:r>
      <w:bookmarkEnd w:id="7"/>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Chi phí đền bù bao gồm học phí và tất cả các khoản chi khác phục vụ cho khóa học.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Cách tính chi phí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a) Đối với trường hợp quy định tại khoản 1 Điều 25 Thông tư này, công chức phải đền bù 100% chi phí mà cơ sở đào tạo, bồi dưỡng và cơ quan đã chi trả;</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b) Đối với các trường hợp quy định tại khoản 2 Điều 25 Thông tư này, công chức phải đền bù 50% chi phí của khóa học;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lastRenderedPageBreak/>
        <w:t xml:space="preserve">c) Đối với các trường hợp quy định tại khoản 3 Điều 25 Thông tư này, chi phí đền bù được tính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công chức sau:</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S = </w:t>
      </w:r>
      <w:r w:rsidRPr="00710F24">
        <w:rPr>
          <w:rFonts w:eastAsia="Times New Roman" w:cs="Times New Roman"/>
          <w:noProof/>
          <w:color w:val="000000"/>
          <w:szCs w:val="26"/>
          <w:vertAlign w:val="subscript"/>
        </w:rPr>
        <w:drawing>
          <wp:inline distT="0" distB="0" distL="0" distR="0" wp14:anchorId="50E4DCFE" wp14:editId="76FEEB9D">
            <wp:extent cx="762000" cy="342900"/>
            <wp:effectExtent l="0" t="0" r="0" b="0"/>
            <wp:docPr id="2" name="Picture 2" descr="http://thuvienphapluat.vn/uploads/doc2htm/0011872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huvienphapluat.vn/uploads/doc2htm/00118721_files/image00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342900"/>
                    </a:xfrm>
                    <a:prstGeom prst="rect">
                      <a:avLst/>
                    </a:prstGeom>
                    <a:noFill/>
                    <a:ln>
                      <a:noFill/>
                    </a:ln>
                  </pic:spPr>
                </pic:pic>
              </a:graphicData>
            </a:graphic>
          </wp:inline>
        </w:drawing>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Trong đó:</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S là chi phí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F là tổng chi phí của khóa học;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T1 là thời gian yêu cầu phải phục vụ sau khi đã hoàn thành khóa học (hoặc các khóa học) được tính bằng số tháng làm tròn;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T2 là thời gian đã phục vụ sau đào tạo được tính bằng số tháng làm tròn.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Ví dụ: Anh A được cơ quan cử đi đào tạo thạc sỹ 3 năm (= 36 tháng), chi phí hết 30 triệu đồng. Sau khi tốt nghiệp, anh A phục vụ cho cơ quan được 3 năm (= 36 tháng). Sau đó, anh </w:t>
      </w:r>
      <w:proofErr w:type="gramStart"/>
      <w:r w:rsidRPr="00710F24">
        <w:rPr>
          <w:rFonts w:eastAsia="Times New Roman" w:cs="Times New Roman"/>
          <w:color w:val="000000"/>
          <w:szCs w:val="26"/>
        </w:rPr>
        <w:t>A</w:t>
      </w:r>
      <w:proofErr w:type="gramEnd"/>
      <w:r w:rsidRPr="00710F24">
        <w:rPr>
          <w:rFonts w:eastAsia="Times New Roman" w:cs="Times New Roman"/>
          <w:color w:val="000000"/>
          <w:szCs w:val="26"/>
        </w:rPr>
        <w:t xml:space="preserve"> tự ý bỏ việc. Chi phí đào tạo mà anh </w:t>
      </w:r>
      <w:proofErr w:type="gramStart"/>
      <w:r w:rsidRPr="00710F24">
        <w:rPr>
          <w:rFonts w:eastAsia="Times New Roman" w:cs="Times New Roman"/>
          <w:color w:val="000000"/>
          <w:szCs w:val="26"/>
        </w:rPr>
        <w:t>A</w:t>
      </w:r>
      <w:proofErr w:type="gramEnd"/>
      <w:r w:rsidRPr="00710F24">
        <w:rPr>
          <w:rFonts w:eastAsia="Times New Roman" w:cs="Times New Roman"/>
          <w:color w:val="000000"/>
          <w:szCs w:val="26"/>
        </w:rPr>
        <w:t xml:space="preserve"> phải đền bù là:</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S = </w:t>
      </w:r>
      <w:r w:rsidRPr="00710F24">
        <w:rPr>
          <w:rFonts w:eastAsia="Times New Roman" w:cs="Times New Roman"/>
          <w:noProof/>
          <w:color w:val="000000"/>
          <w:szCs w:val="26"/>
          <w:vertAlign w:val="subscript"/>
        </w:rPr>
        <w:drawing>
          <wp:inline distT="0" distB="0" distL="0" distR="0" wp14:anchorId="2CA1E318" wp14:editId="5991C956">
            <wp:extent cx="790575" cy="371475"/>
            <wp:effectExtent l="0" t="0" r="9525" b="9525"/>
            <wp:docPr id="1" name="Picture 1" descr="http://thuvienphapluat.vn/uploads/doc2htm/00118721_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huvienphapluat.vn/uploads/doc2htm/00118721_files/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0575" cy="371475"/>
                    </a:xfrm>
                    <a:prstGeom prst="rect">
                      <a:avLst/>
                    </a:prstGeom>
                    <a:noFill/>
                    <a:ln>
                      <a:noFill/>
                    </a:ln>
                  </pic:spPr>
                </pic:pic>
              </a:graphicData>
            </a:graphic>
          </wp:inline>
        </w:drawing>
      </w:r>
      <w:r w:rsidRPr="00710F24">
        <w:rPr>
          <w:rFonts w:eastAsia="Times New Roman" w:cs="Times New Roman"/>
          <w:color w:val="000000"/>
          <w:szCs w:val="26"/>
        </w:rPr>
        <w:t> x (108 tháng – 36 tháng) = 20.000.000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Trường hợp anh </w:t>
      </w:r>
      <w:proofErr w:type="gramStart"/>
      <w:r w:rsidRPr="00710F24">
        <w:rPr>
          <w:rFonts w:eastAsia="Times New Roman" w:cs="Times New Roman"/>
          <w:color w:val="000000"/>
          <w:szCs w:val="26"/>
        </w:rPr>
        <w:t>A</w:t>
      </w:r>
      <w:proofErr w:type="gramEnd"/>
      <w:r w:rsidRPr="00710F24">
        <w:rPr>
          <w:rFonts w:eastAsia="Times New Roman" w:cs="Times New Roman"/>
          <w:color w:val="000000"/>
          <w:szCs w:val="26"/>
        </w:rPr>
        <w:t xml:space="preserve"> sau khi hoàn thành khóa đào tạo mà thôi việc ngay hoặc đang học mà tự ý thôi việc thì anh A phải đền bù toàn bộ chi phí đào tạo là 30 triệu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8" w:name="dieu_27"/>
      <w:proofErr w:type="gramStart"/>
      <w:r w:rsidRPr="00710F24">
        <w:rPr>
          <w:rFonts w:eastAsia="Times New Roman" w:cs="Times New Roman"/>
          <w:b/>
          <w:bCs/>
          <w:color w:val="000000"/>
          <w:szCs w:val="26"/>
        </w:rPr>
        <w:t>Điều 27.</w:t>
      </w:r>
      <w:proofErr w:type="gramEnd"/>
      <w:r w:rsidRPr="00710F24">
        <w:rPr>
          <w:rFonts w:eastAsia="Times New Roman" w:cs="Times New Roman"/>
          <w:b/>
          <w:bCs/>
          <w:color w:val="000000"/>
          <w:szCs w:val="26"/>
        </w:rPr>
        <w:t xml:space="preserve"> Điều kiện được tính giảm chi phí đền bù</w:t>
      </w:r>
      <w:bookmarkEnd w:id="8"/>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Việc tính giảm chi phí đền bù chỉ áp dụng cho các trường hợp công chức được cử đi đào tạo từ trình độ trung cấp trở lên:</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Mỗi năm công tác của công chức (không tính thời gian tập sự và thời gian công tác sau khi được đào tạo, bồi dưỡng) được giảm 1% chi phí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Công chức đạt danh hiệu từ Chiến sĩ thi đua cơ sở trở lên trong vòng 5 năm trở lại thì được tính giảm 1% chi phí đền bù cho mỗi danh hiệu.</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9" w:name="dieu_28"/>
      <w:proofErr w:type="gramStart"/>
      <w:r w:rsidRPr="00710F24">
        <w:rPr>
          <w:rFonts w:eastAsia="Times New Roman" w:cs="Times New Roman"/>
          <w:b/>
          <w:bCs/>
          <w:color w:val="000000"/>
          <w:szCs w:val="26"/>
        </w:rPr>
        <w:t>Điều 28.</w:t>
      </w:r>
      <w:proofErr w:type="gramEnd"/>
      <w:r w:rsidRPr="00710F24">
        <w:rPr>
          <w:rFonts w:eastAsia="Times New Roman" w:cs="Times New Roman"/>
          <w:b/>
          <w:bCs/>
          <w:color w:val="000000"/>
          <w:szCs w:val="26"/>
        </w:rPr>
        <w:t xml:space="preserve"> Hội đồng xét đền bù</w:t>
      </w:r>
      <w:bookmarkEnd w:id="9"/>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Thủ trưởng cơ quan quản lý công chức thành lập Hội đồng xét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Hội đồng bao gồm:</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a) Đại diện lãnh đạo Vụ (Ban) Tổ chức cán bộ, Sở Nội vụ của cơ quan quản lý công chức làm Chủ tịch Hội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b) Đại diện tổ chức công đoàn của cơ quan sử dụng công chức;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c) Công chức phụ trách đào tạo, bồi dưỡng của Vụ (Ban) Tổ chức cán bộ, Sở Nội vụ của cơ quan quản lý công chức là Thư ký Hội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d) Đại diện bộ phận tài chính – kế toán của cơ quan chi trả các khoản chi phí cho khóa học;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đ) Đại diện lãnh đạo cơ quan sử dụng công chức.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10" w:name="dieu_29"/>
      <w:proofErr w:type="gramStart"/>
      <w:r w:rsidRPr="00710F24">
        <w:rPr>
          <w:rFonts w:eastAsia="Times New Roman" w:cs="Times New Roman"/>
          <w:b/>
          <w:bCs/>
          <w:color w:val="000000"/>
          <w:szCs w:val="26"/>
        </w:rPr>
        <w:t>Điều 29.</w:t>
      </w:r>
      <w:proofErr w:type="gramEnd"/>
      <w:r w:rsidRPr="00710F24">
        <w:rPr>
          <w:rFonts w:eastAsia="Times New Roman" w:cs="Times New Roman"/>
          <w:b/>
          <w:bCs/>
          <w:color w:val="000000"/>
          <w:szCs w:val="26"/>
        </w:rPr>
        <w:t xml:space="preserve"> Nguyên tắc làm việc của Hội đồng</w:t>
      </w:r>
      <w:bookmarkEnd w:id="10"/>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1. Hội đồng làm việc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nguyên tắc công khai, dân chủ và biểu quyết theo đa số.</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Hội đồng chấm dứt hoạt động và tự giải thể sau khi hoàn thành nhiệm vụ.</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11" w:name="dieu_30"/>
      <w:proofErr w:type="gramStart"/>
      <w:r w:rsidRPr="00710F24">
        <w:rPr>
          <w:rFonts w:eastAsia="Times New Roman" w:cs="Times New Roman"/>
          <w:b/>
          <w:bCs/>
          <w:color w:val="000000"/>
          <w:szCs w:val="26"/>
        </w:rPr>
        <w:t>Điều 30.</w:t>
      </w:r>
      <w:proofErr w:type="gramEnd"/>
      <w:r w:rsidRPr="00710F24">
        <w:rPr>
          <w:rFonts w:eastAsia="Times New Roman" w:cs="Times New Roman"/>
          <w:b/>
          <w:bCs/>
          <w:color w:val="000000"/>
          <w:szCs w:val="26"/>
        </w:rPr>
        <w:t xml:space="preserve"> Cuộc họp của Hội đồng</w:t>
      </w:r>
      <w:bookmarkEnd w:id="11"/>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1. Chủ tịch Hội đồng có trách nhiệm tổ chức cuộc họp xét đền bù. </w:t>
      </w:r>
      <w:proofErr w:type="gramStart"/>
      <w:r w:rsidRPr="00710F24">
        <w:rPr>
          <w:rFonts w:eastAsia="Times New Roman" w:cs="Times New Roman"/>
          <w:color w:val="000000"/>
          <w:szCs w:val="26"/>
        </w:rPr>
        <w:t>Cuộc họp của Hội đồng chỉ được tiến hành khi có đầy đủ các ủy viên tham dự.</w:t>
      </w:r>
      <w:proofErr w:type="gramEnd"/>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Tại cuộc họp của Hội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lastRenderedPageBreak/>
        <w:t>a) Thư ký Hội đồng đọc quyết định thành lập Hội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b) Chủ tịch Hội đồng nêu nhiệm vụ và chương trình làm việc của Hội đồng;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c) Thư ký Hội đồng đọc các quy định liên quan đến đền bù chi phí đào tạo, bồi dưỡng;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d) Đại diện bộ phận tài chính – kế toán của cơ quan chi trả báo cáo các khoản chi phí cho khóa học và xác định trường hợp đang được xét đền bù thuộc trường hợp nào trong các trường hợp phải đền bù chi phí đào tạo, bồi dưỡng;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đ) Đại diện lãnh đạo cơ quan sử dụng công chức báo cáo về quá trình công tác của công chức;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e) Hội đồng thảo luận về trường hợp đền bù và chi phí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Mức giảm chi phí đền bù mà Hội đồng đề nghị là trung bình cộng các mức giảm chi phí đền bù của các ủy viên Hội đồng đề nghị;</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g) Kiến nghị mức giảm đền bù của Hội đồng được lập thành văn bản và phải được gửi đến Thủ trưởng cơ quan quản lý công chức chậm nhất 3 (ba) ngày làm việc kể từ ngày kết thúc cuộc họp.</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12" w:name="dieu_31"/>
      <w:proofErr w:type="gramStart"/>
      <w:r w:rsidRPr="00710F24">
        <w:rPr>
          <w:rFonts w:eastAsia="Times New Roman" w:cs="Times New Roman"/>
          <w:b/>
          <w:bCs/>
          <w:color w:val="000000"/>
          <w:szCs w:val="26"/>
        </w:rPr>
        <w:t>Điều 31.</w:t>
      </w:r>
      <w:proofErr w:type="gramEnd"/>
      <w:r w:rsidRPr="00710F24">
        <w:rPr>
          <w:rFonts w:eastAsia="Times New Roman" w:cs="Times New Roman"/>
          <w:b/>
          <w:bCs/>
          <w:color w:val="000000"/>
          <w:szCs w:val="26"/>
        </w:rPr>
        <w:t xml:space="preserve"> Quyết định đền bù</w:t>
      </w:r>
      <w:bookmarkEnd w:id="12"/>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Căn cứ vào đề nghị của Hội đồng xét đền bù, Thủ trưởng cơ quan quản lý công chức quyết định mức đền bù chi phí đào tạo, bồi dưỡng.</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bookmarkStart w:id="13" w:name="dieu_32"/>
      <w:proofErr w:type="gramStart"/>
      <w:r w:rsidRPr="00710F24">
        <w:rPr>
          <w:rFonts w:eastAsia="Times New Roman" w:cs="Times New Roman"/>
          <w:b/>
          <w:bCs/>
          <w:color w:val="000000"/>
          <w:szCs w:val="26"/>
        </w:rPr>
        <w:t>Điều 32.</w:t>
      </w:r>
      <w:proofErr w:type="gramEnd"/>
      <w:r w:rsidRPr="00710F24">
        <w:rPr>
          <w:rFonts w:eastAsia="Times New Roman" w:cs="Times New Roman"/>
          <w:b/>
          <w:bCs/>
          <w:color w:val="000000"/>
          <w:szCs w:val="26"/>
        </w:rPr>
        <w:t xml:space="preserve"> Trả và </w:t>
      </w:r>
      <w:proofErr w:type="gramStart"/>
      <w:r w:rsidRPr="00710F24">
        <w:rPr>
          <w:rFonts w:eastAsia="Times New Roman" w:cs="Times New Roman"/>
          <w:b/>
          <w:bCs/>
          <w:color w:val="000000"/>
          <w:szCs w:val="26"/>
        </w:rPr>
        <w:t>thu</w:t>
      </w:r>
      <w:proofErr w:type="gramEnd"/>
      <w:r w:rsidRPr="00710F24">
        <w:rPr>
          <w:rFonts w:eastAsia="Times New Roman" w:cs="Times New Roman"/>
          <w:b/>
          <w:bCs/>
          <w:color w:val="000000"/>
          <w:szCs w:val="26"/>
        </w:rPr>
        <w:t xml:space="preserve"> hồi chi phí đền bù</w:t>
      </w:r>
      <w:bookmarkEnd w:id="13"/>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1. Chậm nhất trong thời hạn 45 (bốn mươi lăm) ngày, kể từ ngày nhận được quyết định đền bù của cơ quan quản lý công chức, công chức bồi thường chi phí đào tạo, bồi dưỡng có trách nhiệm nộp trả đầy đủ khoản tiền phải đền bù.</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2. Chi phí đền bù được nộp cho cơ quan đã chi trả cho khóa học thông qua Kho bạc Nhà nước.</w:t>
      </w:r>
    </w:p>
    <w:p w:rsidR="00710F24" w:rsidRPr="00710F24" w:rsidRDefault="00710F24" w:rsidP="00710F24">
      <w:pPr>
        <w:shd w:val="clear" w:color="auto" w:fill="FFFFFF"/>
        <w:spacing w:before="60" w:after="60" w:line="234" w:lineRule="atLeast"/>
        <w:jc w:val="both"/>
        <w:rPr>
          <w:rFonts w:eastAsia="Times New Roman" w:cs="Times New Roman"/>
          <w:color w:val="000000"/>
          <w:szCs w:val="26"/>
        </w:rPr>
      </w:pPr>
      <w:r w:rsidRPr="00710F24">
        <w:rPr>
          <w:rFonts w:eastAsia="Times New Roman" w:cs="Times New Roman"/>
          <w:color w:val="000000"/>
          <w:szCs w:val="26"/>
        </w:rPr>
        <w:t xml:space="preserve">3. Trường hợp công chức phải đền bù chi phí đào tạo, bồi dưỡng không thực hiện nghĩa vụ đền bù thì cơ quan ban hành quyết định đền bù không giải quyết các chế độ, chính sách và có quyền khởi kiện </w:t>
      </w:r>
      <w:proofErr w:type="gramStart"/>
      <w:r w:rsidRPr="00710F24">
        <w:rPr>
          <w:rFonts w:eastAsia="Times New Roman" w:cs="Times New Roman"/>
          <w:color w:val="000000"/>
          <w:szCs w:val="26"/>
        </w:rPr>
        <w:t>theo</w:t>
      </w:r>
      <w:proofErr w:type="gramEnd"/>
      <w:r w:rsidRPr="00710F24">
        <w:rPr>
          <w:rFonts w:eastAsia="Times New Roman" w:cs="Times New Roman"/>
          <w:color w:val="000000"/>
          <w:szCs w:val="26"/>
        </w:rPr>
        <w:t xml:space="preserve"> quy định pháp luật.</w:t>
      </w:r>
    </w:p>
    <w:bookmarkEnd w:id="1"/>
    <w:p w:rsidR="00E801B7" w:rsidRPr="00710F24" w:rsidRDefault="00E801B7" w:rsidP="00710F24">
      <w:pPr>
        <w:pStyle w:val="NormalWeb"/>
        <w:shd w:val="clear" w:color="auto" w:fill="FFFFFF"/>
        <w:spacing w:before="60" w:beforeAutospacing="0" w:after="60" w:afterAutospacing="0" w:line="234" w:lineRule="atLeast"/>
        <w:jc w:val="both"/>
        <w:rPr>
          <w:color w:val="000000"/>
          <w:sz w:val="26"/>
          <w:szCs w:val="26"/>
        </w:rPr>
      </w:pPr>
    </w:p>
    <w:sectPr w:rsidR="00E801B7" w:rsidRPr="00710F24"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1D347C"/>
    <w:rsid w:val="00206A73"/>
    <w:rsid w:val="004A78C3"/>
    <w:rsid w:val="004B5188"/>
    <w:rsid w:val="00691084"/>
    <w:rsid w:val="00695E91"/>
    <w:rsid w:val="00702C78"/>
    <w:rsid w:val="00710F24"/>
    <w:rsid w:val="00721428"/>
    <w:rsid w:val="00861CEB"/>
    <w:rsid w:val="008E56F3"/>
    <w:rsid w:val="00A66513"/>
    <w:rsid w:val="00A713B2"/>
    <w:rsid w:val="00B94F36"/>
    <w:rsid w:val="00E33878"/>
    <w:rsid w:val="00E801B7"/>
    <w:rsid w:val="00E929D9"/>
    <w:rsid w:val="00F33FBE"/>
    <w:rsid w:val="00F4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 w:type="paragraph" w:styleId="BalloonText">
    <w:name w:val="Balloon Text"/>
    <w:basedOn w:val="Normal"/>
    <w:link w:val="BalloonTextChar"/>
    <w:uiPriority w:val="99"/>
    <w:semiHidden/>
    <w:unhideWhenUsed/>
    <w:rsid w:val="00710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F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 w:type="paragraph" w:styleId="BalloonText">
    <w:name w:val="Balloon Text"/>
    <w:basedOn w:val="Normal"/>
    <w:link w:val="BalloonTextChar"/>
    <w:uiPriority w:val="99"/>
    <w:semiHidden/>
    <w:unhideWhenUsed/>
    <w:rsid w:val="00710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F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542785">
      <w:bodyDiv w:val="1"/>
      <w:marLeft w:val="0"/>
      <w:marRight w:val="0"/>
      <w:marTop w:val="0"/>
      <w:marBottom w:val="0"/>
      <w:divBdr>
        <w:top w:val="none" w:sz="0" w:space="0" w:color="auto"/>
        <w:left w:val="none" w:sz="0" w:space="0" w:color="auto"/>
        <w:bottom w:val="none" w:sz="0" w:space="0" w:color="auto"/>
        <w:right w:val="none" w:sz="0" w:space="0" w:color="auto"/>
      </w:divBdr>
    </w:div>
    <w:div w:id="710034548">
      <w:bodyDiv w:val="1"/>
      <w:marLeft w:val="0"/>
      <w:marRight w:val="0"/>
      <w:marTop w:val="0"/>
      <w:marBottom w:val="0"/>
      <w:divBdr>
        <w:top w:val="none" w:sz="0" w:space="0" w:color="auto"/>
        <w:left w:val="none" w:sz="0" w:space="0" w:color="auto"/>
        <w:bottom w:val="none" w:sz="0" w:space="0" w:color="auto"/>
        <w:right w:val="none" w:sz="0" w:space="0" w:color="auto"/>
      </w:divBdr>
    </w:div>
    <w:div w:id="843282100">
      <w:bodyDiv w:val="1"/>
      <w:marLeft w:val="0"/>
      <w:marRight w:val="0"/>
      <w:marTop w:val="0"/>
      <w:marBottom w:val="0"/>
      <w:divBdr>
        <w:top w:val="none" w:sz="0" w:space="0" w:color="auto"/>
        <w:left w:val="none" w:sz="0" w:space="0" w:color="auto"/>
        <w:bottom w:val="none" w:sz="0" w:space="0" w:color="auto"/>
        <w:right w:val="none" w:sz="0" w:space="0" w:color="auto"/>
      </w:divBdr>
    </w:div>
    <w:div w:id="1584100154">
      <w:bodyDiv w:val="1"/>
      <w:marLeft w:val="0"/>
      <w:marRight w:val="0"/>
      <w:marTop w:val="0"/>
      <w:marBottom w:val="0"/>
      <w:divBdr>
        <w:top w:val="none" w:sz="0" w:space="0" w:color="auto"/>
        <w:left w:val="none" w:sz="0" w:space="0" w:color="auto"/>
        <w:bottom w:val="none" w:sz="0" w:space="0" w:color="auto"/>
        <w:right w:val="none" w:sz="0" w:space="0" w:color="auto"/>
      </w:divBdr>
    </w:div>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1849830947">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thuvienphapluat.vn/phap-luat/tim-van-ban.aspx?keyword=24/2010/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18/2010/N%C4%90-CP&amp;area=2&amp;type=0&amp;match=False&amp;vc=True&amp;lan=1" TargetMode="External"/><Relationship Id="rId11" Type="http://schemas.openxmlformats.org/officeDocument/2006/relationships/theme" Target="theme/theme1.xml"/><Relationship Id="rId5" Type="http://schemas.openxmlformats.org/officeDocument/2006/relationships/hyperlink" Target="http://thuvienphapluat.vn/phap-luat/tim-van-ban.aspx?keyword=18/2010/N%C4%90-CP&amp;area=2&amp;type=0&amp;match=False&amp;vc=True&amp;la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2015-01-20T12:06:00Z</cp:lastPrinted>
  <dcterms:created xsi:type="dcterms:W3CDTF">2015-01-20T12:10:00Z</dcterms:created>
  <dcterms:modified xsi:type="dcterms:W3CDTF">2015-01-20T12:10:00Z</dcterms:modified>
</cp:coreProperties>
</file>